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0480CC19"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0D1CDE" w:rsidRPr="000D1CDE">
              <w:rPr>
                <w:rFonts w:ascii="Montserrat" w:hAnsi="Montserrat"/>
                <w:color w:val="000000" w:themeColor="text1"/>
                <w:sz w:val="24"/>
                <w:szCs w:val="24"/>
              </w:rPr>
              <w:t>Senior HR Director</w:t>
            </w:r>
          </w:p>
          <w:p w14:paraId="1CFAC369" w14:textId="4EF21E9C" w:rsidR="002947B7" w:rsidRPr="0060222F" w:rsidRDefault="00AB3FE9" w:rsidP="00850CAD">
            <w:pPr>
              <w:spacing w:line="240" w:lineRule="auto"/>
              <w:rPr>
                <w:rFonts w:ascii="Montserrat" w:hAnsi="Montserrat"/>
                <w:b/>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0D1CDE" w:rsidRPr="000D1CDE">
              <w:rPr>
                <w:rFonts w:ascii="Montserrat" w:hAnsi="Montserrat"/>
                <w:color w:val="000000" w:themeColor="text1"/>
                <w:sz w:val="24"/>
                <w:szCs w:val="24"/>
              </w:rPr>
              <w:t>Central Support</w:t>
            </w:r>
          </w:p>
          <w:p w14:paraId="5B276617" w14:textId="6093B596" w:rsidR="002947B7" w:rsidRPr="000D1CDE"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0D1CDE">
              <w:rPr>
                <w:rStyle w:val="Heading5Char"/>
                <w:rFonts w:ascii="Montserrat" w:hAnsi="Montserrat"/>
                <w:b/>
                <w:sz w:val="24"/>
                <w:szCs w:val="24"/>
              </w:rPr>
              <w:t xml:space="preserve"> </w:t>
            </w:r>
            <w:r w:rsidR="000D1CDE" w:rsidRPr="000D1CDE">
              <w:rPr>
                <w:rStyle w:val="Heading5Char"/>
                <w:rFonts w:ascii="Montserrat" w:hAnsi="Montserrat"/>
                <w:color w:val="auto"/>
                <w:sz w:val="24"/>
                <w:szCs w:val="24"/>
              </w:rPr>
              <w:t>Executive Director of Ministry Services</w:t>
            </w:r>
            <w:r w:rsidR="006673C3" w:rsidRPr="000D1CDE">
              <w:rPr>
                <w:rStyle w:val="Heading5Char"/>
                <w:rFonts w:ascii="Montserrat" w:hAnsi="Montserrat"/>
                <w:color w:val="auto"/>
                <w:sz w:val="24"/>
                <w:szCs w:val="24"/>
              </w:rPr>
              <w:t xml:space="preserve"> </w:t>
            </w:r>
          </w:p>
          <w:p w14:paraId="420A5CA2" w14:textId="1DAA17CE"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 xml:space="preserve">SALARY </w:t>
            </w:r>
          </w:p>
          <w:p w14:paraId="1DF51CCB" w14:textId="2573A07B" w:rsidR="000E766F" w:rsidRPr="0060222F" w:rsidRDefault="00C87710" w:rsidP="004F4A4F">
            <w:pPr>
              <w:pStyle w:val="Heading5"/>
              <w:spacing w:line="240" w:lineRule="auto"/>
              <w:jc w:val="both"/>
              <w:rPr>
                <w:rFonts w:ascii="Montserrat" w:hAnsi="Montserrat"/>
                <w:b/>
                <w:color w:val="000000" w:themeColor="text1"/>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0D1CDE" w:rsidRPr="000D1CDE">
              <w:rPr>
                <w:rFonts w:ascii="Montserrat" w:hAnsi="Montserrat"/>
                <w:color w:val="auto"/>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053E81A4" w:rsidR="00AB3FE9" w:rsidRDefault="000D1CDE" w:rsidP="00850CAD">
            <w:pPr>
              <w:pStyle w:val="Heading3"/>
              <w:rPr>
                <w:rFonts w:ascii="Montserrat Light" w:eastAsia="MS Mincho" w:hAnsi="Montserrat Light" w:cs="Times New Roman"/>
                <w:b w:val="0"/>
                <w:caps w:val="0"/>
                <w:color w:val="auto"/>
                <w:sz w:val="22"/>
                <w:szCs w:val="22"/>
              </w:rPr>
            </w:pPr>
            <w:r w:rsidRPr="000D1CDE">
              <w:rPr>
                <w:rFonts w:ascii="Montserrat Light" w:eastAsia="MS Mincho" w:hAnsi="Montserrat Light" w:cs="Times New Roman"/>
                <w:b w:val="0"/>
                <w:caps w:val="0"/>
                <w:color w:val="auto"/>
                <w:sz w:val="22"/>
                <w:szCs w:val="22"/>
              </w:rPr>
              <w:t>The Senior Human Resources Director plays a key role in the success of the organization by offering guidance and best practices in three main areas – Benefits, Compliance, and Staffing. In order to steward our tithes and serve or staff with excellence, all processes, systems and requests will be evaluated through the lenses of sustainability, scalability and succession.</w:t>
            </w:r>
          </w:p>
          <w:p w14:paraId="4A0033F0" w14:textId="77777777" w:rsidR="000D1CDE" w:rsidRDefault="000D1CDE" w:rsidP="00850CAD">
            <w:pPr>
              <w:pStyle w:val="Heading3"/>
              <w:rPr>
                <w:sz w:val="24"/>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2ADD85B4" w14:textId="40B0F5EC" w:rsidR="000D1CDE" w:rsidRPr="000D1CDE" w:rsidRDefault="000D1CDE" w:rsidP="000D1CDE">
            <w:pPr>
              <w:spacing w:line="240" w:lineRule="auto"/>
              <w:rPr>
                <w:rFonts w:eastAsia="Calibri" w:cs="Times New Roman"/>
                <w:b/>
                <w:color w:val="0D0D0D" w:themeColor="text1" w:themeTint="F2"/>
                <w:sz w:val="22"/>
                <w:szCs w:val="22"/>
                <w:u w:val="single"/>
              </w:rPr>
            </w:pPr>
            <w:r w:rsidRPr="000D1CDE">
              <w:rPr>
                <w:rFonts w:eastAsia="Calibri" w:cs="Times New Roman"/>
                <w:b/>
                <w:color w:val="0D0D0D" w:themeColor="text1" w:themeTint="F2"/>
                <w:sz w:val="22"/>
                <w:szCs w:val="22"/>
                <w:u w:val="single"/>
              </w:rPr>
              <w:t>Benefits:</w:t>
            </w:r>
          </w:p>
          <w:p w14:paraId="0F5F2282" w14:textId="77777777" w:rsidR="000D1CDE" w:rsidRPr="000D1CDE" w:rsidRDefault="000D1CDE" w:rsidP="000D1CDE">
            <w:pPr>
              <w:spacing w:line="240" w:lineRule="auto"/>
              <w:rPr>
                <w:rFonts w:eastAsia="Calibri" w:cs="Times New Roman"/>
                <w:b/>
                <w:color w:val="0D0D0D" w:themeColor="text1" w:themeTint="F2"/>
                <w:sz w:val="22"/>
                <w:szCs w:val="22"/>
              </w:rPr>
            </w:pPr>
            <w:r w:rsidRPr="000D1CDE">
              <w:rPr>
                <w:rFonts w:eastAsia="Calibri" w:cs="Times New Roman"/>
                <w:b/>
                <w:color w:val="0D0D0D" w:themeColor="text1" w:themeTint="F2"/>
                <w:sz w:val="22"/>
                <w:szCs w:val="22"/>
              </w:rPr>
              <w:t>Healthcare:</w:t>
            </w:r>
          </w:p>
          <w:p w14:paraId="4FBBA014" w14:textId="4BAA4A7A" w:rsidR="000D1CDE" w:rsidRPr="000D1CDE" w:rsidRDefault="000D1CDE" w:rsidP="000D1CDE">
            <w:pPr>
              <w:pStyle w:val="ListParagraph"/>
              <w:numPr>
                <w:ilvl w:val="0"/>
                <w:numId w:val="18"/>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Coverage</w:t>
            </w:r>
            <w:r w:rsidRPr="000D1CDE">
              <w:rPr>
                <w:rFonts w:eastAsia="Calibri" w:cs="Times New Roman"/>
                <w:color w:val="0D0D0D" w:themeColor="text1" w:themeTint="F2"/>
                <w:sz w:val="22"/>
                <w:szCs w:val="22"/>
              </w:rPr>
              <w:t xml:space="preserve"> Reconciliation</w:t>
            </w:r>
          </w:p>
          <w:p w14:paraId="6BF90AB6" w14:textId="77777777" w:rsidR="000D1CDE" w:rsidRPr="000D1CDE" w:rsidRDefault="000D1CDE" w:rsidP="000D1CDE">
            <w:pPr>
              <w:pStyle w:val="ListParagraph"/>
              <w:numPr>
                <w:ilvl w:val="0"/>
                <w:numId w:val="18"/>
              </w:numPr>
              <w:spacing w:line="240" w:lineRule="auto"/>
              <w:rPr>
                <w:rFonts w:eastAsia="Calibri" w:cs="Times New Roman"/>
                <w:color w:val="0D0D0D" w:themeColor="text1" w:themeTint="F2"/>
                <w:sz w:val="22"/>
                <w:szCs w:val="22"/>
              </w:rPr>
            </w:pPr>
            <w:r w:rsidRPr="000D1CDE">
              <w:rPr>
                <w:rFonts w:eastAsia="Calibri" w:cs="Times New Roman"/>
                <w:color w:val="0D0D0D" w:themeColor="text1" w:themeTint="F2"/>
                <w:sz w:val="22"/>
                <w:szCs w:val="22"/>
              </w:rPr>
              <w:t xml:space="preserve">Annual Open Enrollment </w:t>
            </w:r>
          </w:p>
          <w:p w14:paraId="4C1CD417" w14:textId="77777777" w:rsidR="000D1CDE" w:rsidRPr="000D1CDE" w:rsidRDefault="000D1CDE" w:rsidP="000D1CDE">
            <w:pPr>
              <w:pStyle w:val="ListParagraph"/>
              <w:numPr>
                <w:ilvl w:val="0"/>
                <w:numId w:val="18"/>
              </w:numPr>
              <w:spacing w:line="240" w:lineRule="auto"/>
              <w:rPr>
                <w:rFonts w:eastAsia="Calibri" w:cs="Times New Roman"/>
                <w:color w:val="0D0D0D" w:themeColor="text1" w:themeTint="F2"/>
                <w:sz w:val="22"/>
                <w:szCs w:val="22"/>
              </w:rPr>
            </w:pPr>
            <w:r w:rsidRPr="000D1CDE">
              <w:rPr>
                <w:rFonts w:eastAsia="Calibri" w:cs="Times New Roman"/>
                <w:color w:val="0D0D0D" w:themeColor="text1" w:themeTint="F2"/>
                <w:sz w:val="22"/>
                <w:szCs w:val="22"/>
              </w:rPr>
              <w:t>HSA &amp; HRA Administration</w:t>
            </w:r>
          </w:p>
          <w:p w14:paraId="09014675" w14:textId="77777777" w:rsidR="000D1CDE" w:rsidRPr="000D1CDE" w:rsidRDefault="000D1CDE" w:rsidP="000D1CDE">
            <w:pPr>
              <w:pStyle w:val="ListParagraph"/>
              <w:numPr>
                <w:ilvl w:val="0"/>
                <w:numId w:val="18"/>
              </w:numPr>
              <w:spacing w:line="240" w:lineRule="auto"/>
              <w:rPr>
                <w:rFonts w:eastAsia="Calibri" w:cs="Times New Roman"/>
                <w:color w:val="0D0D0D" w:themeColor="text1" w:themeTint="F2"/>
                <w:sz w:val="22"/>
                <w:szCs w:val="22"/>
              </w:rPr>
            </w:pPr>
            <w:r w:rsidRPr="000D1CDE">
              <w:rPr>
                <w:rFonts w:eastAsia="Calibri" w:cs="Times New Roman"/>
                <w:color w:val="0D0D0D" w:themeColor="text1" w:themeTint="F2"/>
                <w:sz w:val="22"/>
                <w:szCs w:val="22"/>
              </w:rPr>
              <w:t>Broker relationship</w:t>
            </w:r>
          </w:p>
          <w:p w14:paraId="10F8B0A7" w14:textId="77777777" w:rsidR="000D1CDE" w:rsidRPr="000D1CDE" w:rsidRDefault="000D1CDE" w:rsidP="000D1CDE">
            <w:pPr>
              <w:spacing w:line="240" w:lineRule="auto"/>
              <w:rPr>
                <w:rFonts w:eastAsia="Calibri" w:cs="Times New Roman"/>
                <w:b/>
                <w:color w:val="0D0D0D" w:themeColor="text1" w:themeTint="F2"/>
                <w:sz w:val="22"/>
                <w:szCs w:val="22"/>
              </w:rPr>
            </w:pPr>
            <w:r w:rsidRPr="000D1CDE">
              <w:rPr>
                <w:rFonts w:eastAsia="Calibri" w:cs="Times New Roman"/>
                <w:b/>
                <w:color w:val="0D0D0D" w:themeColor="text1" w:themeTint="F2"/>
                <w:sz w:val="22"/>
                <w:szCs w:val="22"/>
              </w:rPr>
              <w:t>401K:</w:t>
            </w:r>
          </w:p>
          <w:p w14:paraId="2F9DA859" w14:textId="77777777" w:rsidR="000D1CDE" w:rsidRPr="000D1CDE" w:rsidRDefault="000D1CDE" w:rsidP="000D1CDE">
            <w:pPr>
              <w:pStyle w:val="ListParagraph"/>
              <w:numPr>
                <w:ilvl w:val="0"/>
                <w:numId w:val="19"/>
              </w:numPr>
              <w:spacing w:line="240" w:lineRule="auto"/>
              <w:rPr>
                <w:rFonts w:eastAsia="Calibri" w:cs="Times New Roman"/>
                <w:color w:val="0D0D0D" w:themeColor="text1" w:themeTint="F2"/>
                <w:sz w:val="22"/>
                <w:szCs w:val="22"/>
              </w:rPr>
            </w:pPr>
            <w:r w:rsidRPr="000D1CDE">
              <w:rPr>
                <w:rFonts w:eastAsia="Calibri" w:cs="Times New Roman"/>
                <w:color w:val="0D0D0D" w:themeColor="text1" w:themeTint="F2"/>
                <w:sz w:val="22"/>
                <w:szCs w:val="22"/>
              </w:rPr>
              <w:t>Fees Assessment</w:t>
            </w:r>
          </w:p>
          <w:p w14:paraId="4E502237" w14:textId="7F1B0AF7" w:rsidR="000D1CDE" w:rsidRPr="000D1CDE" w:rsidRDefault="000D1CDE" w:rsidP="000D1CDE">
            <w:pPr>
              <w:pStyle w:val="ListParagraph"/>
              <w:numPr>
                <w:ilvl w:val="0"/>
                <w:numId w:val="19"/>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Policy</w:t>
            </w:r>
            <w:r w:rsidRPr="000D1CDE">
              <w:rPr>
                <w:rFonts w:eastAsia="Calibri" w:cs="Times New Roman"/>
                <w:color w:val="0D0D0D" w:themeColor="text1" w:themeTint="F2"/>
                <w:sz w:val="22"/>
                <w:szCs w:val="22"/>
              </w:rPr>
              <w:t xml:space="preserve"> Compliance</w:t>
            </w:r>
          </w:p>
          <w:p w14:paraId="733D878C" w14:textId="77777777" w:rsidR="000D1CDE" w:rsidRPr="000D1CDE" w:rsidRDefault="000D1CDE" w:rsidP="000D1CDE">
            <w:pPr>
              <w:pStyle w:val="ListParagraph"/>
              <w:numPr>
                <w:ilvl w:val="0"/>
                <w:numId w:val="19"/>
              </w:numPr>
              <w:spacing w:line="240" w:lineRule="auto"/>
              <w:rPr>
                <w:rFonts w:eastAsia="Calibri" w:cs="Times New Roman"/>
                <w:color w:val="0D0D0D" w:themeColor="text1" w:themeTint="F2"/>
                <w:sz w:val="22"/>
                <w:szCs w:val="22"/>
              </w:rPr>
            </w:pPr>
            <w:r w:rsidRPr="000D1CDE">
              <w:rPr>
                <w:rFonts w:eastAsia="Calibri" w:cs="Times New Roman"/>
                <w:color w:val="0D0D0D" w:themeColor="text1" w:themeTint="F2"/>
                <w:sz w:val="22"/>
                <w:szCs w:val="22"/>
              </w:rPr>
              <w:t xml:space="preserve">Employee Engagement </w:t>
            </w:r>
          </w:p>
          <w:p w14:paraId="1A85F176" w14:textId="77777777" w:rsidR="000D1CDE" w:rsidRPr="000D1CDE" w:rsidRDefault="000D1CDE" w:rsidP="000D1CDE">
            <w:pPr>
              <w:pStyle w:val="ListParagraph"/>
              <w:numPr>
                <w:ilvl w:val="0"/>
                <w:numId w:val="19"/>
              </w:numPr>
              <w:spacing w:line="240" w:lineRule="auto"/>
              <w:rPr>
                <w:rFonts w:eastAsia="Calibri" w:cs="Times New Roman"/>
                <w:color w:val="0D0D0D" w:themeColor="text1" w:themeTint="F2"/>
                <w:sz w:val="22"/>
                <w:szCs w:val="22"/>
              </w:rPr>
            </w:pPr>
            <w:r w:rsidRPr="000D1CDE">
              <w:rPr>
                <w:rFonts w:eastAsia="Calibri" w:cs="Times New Roman"/>
                <w:color w:val="0D0D0D" w:themeColor="text1" w:themeTint="F2"/>
                <w:sz w:val="22"/>
                <w:szCs w:val="22"/>
              </w:rPr>
              <w:t>Broker Relationship</w:t>
            </w:r>
          </w:p>
          <w:p w14:paraId="1F8CE90D" w14:textId="77777777" w:rsidR="000D1CDE" w:rsidRPr="000D1CDE" w:rsidRDefault="000D1CDE" w:rsidP="000D1CDE">
            <w:pPr>
              <w:spacing w:line="240" w:lineRule="auto"/>
              <w:ind w:left="360"/>
              <w:rPr>
                <w:rFonts w:eastAsia="Calibri" w:cs="Times New Roman"/>
                <w:color w:val="0D0D0D" w:themeColor="text1" w:themeTint="F2"/>
                <w:sz w:val="22"/>
                <w:szCs w:val="22"/>
              </w:rPr>
            </w:pPr>
          </w:p>
          <w:p w14:paraId="43BDB227" w14:textId="15FACD89" w:rsidR="000D1CDE" w:rsidRPr="000D1CDE" w:rsidRDefault="000D1CDE" w:rsidP="000D1CDE">
            <w:pPr>
              <w:spacing w:line="240" w:lineRule="auto"/>
              <w:rPr>
                <w:rFonts w:eastAsia="Calibri" w:cs="Times New Roman"/>
                <w:b/>
                <w:color w:val="0D0D0D" w:themeColor="text1" w:themeTint="F2"/>
                <w:sz w:val="22"/>
                <w:szCs w:val="22"/>
                <w:u w:val="single"/>
              </w:rPr>
            </w:pPr>
            <w:r w:rsidRPr="000D1CDE">
              <w:rPr>
                <w:rFonts w:eastAsia="Calibri" w:cs="Times New Roman"/>
                <w:b/>
                <w:color w:val="0D0D0D" w:themeColor="text1" w:themeTint="F2"/>
                <w:sz w:val="22"/>
                <w:szCs w:val="22"/>
                <w:u w:val="single"/>
              </w:rPr>
              <w:t>Compliance:</w:t>
            </w:r>
          </w:p>
          <w:p w14:paraId="5F68575C" w14:textId="77777777" w:rsidR="000D1CDE" w:rsidRPr="000D1CDE" w:rsidRDefault="000D1CDE" w:rsidP="000D1CDE">
            <w:pPr>
              <w:numPr>
                <w:ilvl w:val="0"/>
                <w:numId w:val="17"/>
              </w:numPr>
              <w:spacing w:line="240" w:lineRule="auto"/>
              <w:rPr>
                <w:rFonts w:eastAsia="Calibri" w:cs="Times New Roman"/>
                <w:color w:val="0D0D0D" w:themeColor="text1" w:themeTint="F2"/>
                <w:sz w:val="22"/>
                <w:szCs w:val="22"/>
              </w:rPr>
            </w:pPr>
            <w:r w:rsidRPr="000D1CDE">
              <w:rPr>
                <w:rFonts w:eastAsia="Calibri" w:cs="Times New Roman"/>
                <w:color w:val="0D0D0D" w:themeColor="text1" w:themeTint="F2"/>
                <w:sz w:val="22"/>
                <w:szCs w:val="22"/>
              </w:rPr>
              <w:t xml:space="preserve">Employee Handbook  </w:t>
            </w:r>
          </w:p>
          <w:p w14:paraId="40EC526B" w14:textId="77777777" w:rsidR="000D1CDE" w:rsidRPr="000D1CDE" w:rsidRDefault="000D1CDE" w:rsidP="000D1CDE">
            <w:pPr>
              <w:numPr>
                <w:ilvl w:val="0"/>
                <w:numId w:val="17"/>
              </w:numPr>
              <w:spacing w:line="240" w:lineRule="auto"/>
              <w:rPr>
                <w:rFonts w:eastAsia="Calibri" w:cs="Times New Roman"/>
                <w:color w:val="0D0D0D" w:themeColor="text1" w:themeTint="F2"/>
                <w:sz w:val="22"/>
                <w:szCs w:val="22"/>
              </w:rPr>
            </w:pPr>
            <w:r w:rsidRPr="000D1CDE">
              <w:rPr>
                <w:rFonts w:eastAsia="Calibri" w:cs="Times New Roman"/>
                <w:color w:val="0D0D0D" w:themeColor="text1" w:themeTint="F2"/>
                <w:sz w:val="22"/>
                <w:szCs w:val="22"/>
              </w:rPr>
              <w:t xml:space="preserve">Education and Training </w:t>
            </w:r>
          </w:p>
          <w:p w14:paraId="45229F39" w14:textId="77777777" w:rsidR="000D1CDE" w:rsidRPr="000D1CDE" w:rsidRDefault="000D1CDE" w:rsidP="000D1CDE">
            <w:pPr>
              <w:numPr>
                <w:ilvl w:val="0"/>
                <w:numId w:val="17"/>
              </w:numPr>
              <w:spacing w:line="240" w:lineRule="auto"/>
              <w:rPr>
                <w:rFonts w:eastAsia="Calibri" w:cs="Times New Roman"/>
                <w:color w:val="0D0D0D" w:themeColor="text1" w:themeTint="F2"/>
                <w:sz w:val="22"/>
                <w:szCs w:val="22"/>
              </w:rPr>
            </w:pPr>
            <w:r w:rsidRPr="000D1CDE">
              <w:rPr>
                <w:rFonts w:eastAsia="Calibri" w:cs="Times New Roman"/>
                <w:color w:val="0D0D0D" w:themeColor="text1" w:themeTint="F2"/>
                <w:sz w:val="22"/>
                <w:szCs w:val="22"/>
              </w:rPr>
              <w:t>BWC</w:t>
            </w:r>
          </w:p>
          <w:p w14:paraId="5C432B11" w14:textId="77777777" w:rsidR="000D1CDE" w:rsidRPr="000D1CDE" w:rsidRDefault="000D1CDE" w:rsidP="000D1CDE">
            <w:pPr>
              <w:numPr>
                <w:ilvl w:val="0"/>
                <w:numId w:val="17"/>
              </w:numPr>
              <w:spacing w:line="240" w:lineRule="auto"/>
              <w:rPr>
                <w:rFonts w:eastAsia="Calibri" w:cs="Times New Roman"/>
                <w:color w:val="0D0D0D" w:themeColor="text1" w:themeTint="F2"/>
                <w:sz w:val="22"/>
                <w:szCs w:val="22"/>
              </w:rPr>
            </w:pPr>
            <w:r w:rsidRPr="000D1CDE">
              <w:rPr>
                <w:rFonts w:eastAsia="Calibri" w:cs="Times New Roman"/>
                <w:color w:val="0D0D0D" w:themeColor="text1" w:themeTint="F2"/>
                <w:sz w:val="22"/>
                <w:szCs w:val="22"/>
              </w:rPr>
              <w:t>Disciplinary Actions and Investigations</w:t>
            </w:r>
          </w:p>
          <w:p w14:paraId="17D81175" w14:textId="77777777" w:rsidR="000D1CDE" w:rsidRPr="000D1CDE" w:rsidRDefault="000D1CDE" w:rsidP="000D1CDE">
            <w:pPr>
              <w:spacing w:line="240" w:lineRule="auto"/>
              <w:ind w:left="720"/>
              <w:rPr>
                <w:rFonts w:eastAsia="Calibri" w:cs="Times New Roman"/>
                <w:b/>
                <w:color w:val="0D0D0D" w:themeColor="text1" w:themeTint="F2"/>
                <w:sz w:val="22"/>
                <w:szCs w:val="22"/>
              </w:rPr>
            </w:pPr>
          </w:p>
          <w:p w14:paraId="5DC91ADD" w14:textId="51ABB033" w:rsidR="000D1CDE" w:rsidRPr="000D1CDE" w:rsidRDefault="000D1CDE" w:rsidP="000D1CDE">
            <w:pPr>
              <w:spacing w:line="240" w:lineRule="auto"/>
              <w:ind w:left="360"/>
              <w:rPr>
                <w:rFonts w:eastAsia="Calibri" w:cs="Times New Roman"/>
                <w:b/>
                <w:color w:val="0D0D0D" w:themeColor="text1" w:themeTint="F2"/>
                <w:sz w:val="22"/>
                <w:szCs w:val="22"/>
                <w:u w:val="single"/>
              </w:rPr>
            </w:pPr>
            <w:r w:rsidRPr="000D1CDE">
              <w:rPr>
                <w:rFonts w:eastAsia="Calibri" w:cs="Times New Roman"/>
                <w:b/>
                <w:color w:val="0D0D0D" w:themeColor="text1" w:themeTint="F2"/>
                <w:sz w:val="22"/>
                <w:szCs w:val="22"/>
                <w:u w:val="single"/>
              </w:rPr>
              <w:t>Staffing:</w:t>
            </w:r>
          </w:p>
          <w:p w14:paraId="5080AA37" w14:textId="775F08D9" w:rsidR="000D1CDE" w:rsidRPr="000D1CDE" w:rsidRDefault="000D1CDE" w:rsidP="000D1CDE">
            <w:pPr>
              <w:numPr>
                <w:ilvl w:val="0"/>
                <w:numId w:val="7"/>
              </w:numPr>
              <w:spacing w:line="240" w:lineRule="auto"/>
              <w:rPr>
                <w:rFonts w:eastAsia="Calibri" w:cs="Times New Roman"/>
                <w:color w:val="0D0D0D" w:themeColor="text1" w:themeTint="F2"/>
                <w:sz w:val="22"/>
                <w:szCs w:val="22"/>
              </w:rPr>
            </w:pPr>
            <w:r w:rsidRPr="000D1CDE">
              <w:rPr>
                <w:rFonts w:eastAsia="Calibri" w:cs="Times New Roman"/>
                <w:color w:val="0D0D0D" w:themeColor="text1" w:themeTint="F2"/>
                <w:sz w:val="22"/>
                <w:szCs w:val="22"/>
              </w:rPr>
              <w:t>Recruiting</w:t>
            </w:r>
            <w:r>
              <w:rPr>
                <w:rFonts w:eastAsia="Calibri" w:cs="Times New Roman"/>
                <w:color w:val="0D0D0D" w:themeColor="text1" w:themeTint="F2"/>
                <w:sz w:val="22"/>
                <w:szCs w:val="22"/>
              </w:rPr>
              <w:t>/</w:t>
            </w:r>
            <w:r w:rsidRPr="000D1CDE">
              <w:rPr>
                <w:rFonts w:eastAsia="Calibri" w:cs="Times New Roman"/>
                <w:color w:val="0D0D0D" w:themeColor="text1" w:themeTint="F2"/>
                <w:sz w:val="22"/>
                <w:szCs w:val="22"/>
              </w:rPr>
              <w:t xml:space="preserve">Hiring Process </w:t>
            </w:r>
          </w:p>
          <w:p w14:paraId="730EEC2D" w14:textId="77777777" w:rsidR="000D1CDE" w:rsidRPr="000D1CDE" w:rsidRDefault="000D1CDE" w:rsidP="000D1CDE">
            <w:pPr>
              <w:numPr>
                <w:ilvl w:val="0"/>
                <w:numId w:val="7"/>
              </w:numPr>
              <w:spacing w:line="240" w:lineRule="auto"/>
              <w:rPr>
                <w:rFonts w:eastAsia="Calibri" w:cs="Times New Roman"/>
                <w:color w:val="0D0D0D" w:themeColor="text1" w:themeTint="F2"/>
                <w:sz w:val="22"/>
                <w:szCs w:val="22"/>
              </w:rPr>
            </w:pPr>
            <w:r w:rsidRPr="000D1CDE">
              <w:rPr>
                <w:rFonts w:eastAsia="Calibri" w:cs="Times New Roman"/>
                <w:color w:val="0D0D0D" w:themeColor="text1" w:themeTint="F2"/>
                <w:sz w:val="22"/>
                <w:szCs w:val="22"/>
              </w:rPr>
              <w:t>New Hire Onboarding and Orientation</w:t>
            </w:r>
          </w:p>
          <w:p w14:paraId="1E875F47" w14:textId="77777777" w:rsidR="000D1CDE" w:rsidRPr="000D1CDE" w:rsidRDefault="000D1CDE" w:rsidP="000D1CDE">
            <w:pPr>
              <w:numPr>
                <w:ilvl w:val="0"/>
                <w:numId w:val="7"/>
              </w:numPr>
              <w:spacing w:line="240" w:lineRule="auto"/>
              <w:rPr>
                <w:rFonts w:eastAsia="Calibri" w:cs="Times New Roman"/>
                <w:color w:val="0D0D0D" w:themeColor="text1" w:themeTint="F2"/>
                <w:sz w:val="22"/>
                <w:szCs w:val="22"/>
              </w:rPr>
            </w:pPr>
            <w:r w:rsidRPr="000D1CDE">
              <w:rPr>
                <w:rFonts w:eastAsia="Calibri" w:cs="Times New Roman"/>
                <w:color w:val="0D0D0D" w:themeColor="text1" w:themeTint="F2"/>
                <w:sz w:val="22"/>
                <w:szCs w:val="22"/>
              </w:rPr>
              <w:t>Employee Evaluations</w:t>
            </w:r>
          </w:p>
          <w:p w14:paraId="4A5EF40B" w14:textId="77777777" w:rsidR="000D1CDE" w:rsidRPr="000D1CDE" w:rsidRDefault="000D1CDE" w:rsidP="000D1CDE">
            <w:pPr>
              <w:numPr>
                <w:ilvl w:val="0"/>
                <w:numId w:val="7"/>
              </w:numPr>
              <w:spacing w:line="240" w:lineRule="auto"/>
              <w:rPr>
                <w:rFonts w:eastAsia="Calibri" w:cs="Times New Roman"/>
                <w:color w:val="0D0D0D" w:themeColor="text1" w:themeTint="F2"/>
                <w:sz w:val="22"/>
                <w:szCs w:val="22"/>
              </w:rPr>
            </w:pPr>
            <w:r w:rsidRPr="000D1CDE">
              <w:rPr>
                <w:rFonts w:eastAsia="Calibri" w:cs="Times New Roman"/>
                <w:color w:val="0D0D0D" w:themeColor="text1" w:themeTint="F2"/>
                <w:sz w:val="22"/>
                <w:szCs w:val="22"/>
              </w:rPr>
              <w:lastRenderedPageBreak/>
              <w:t xml:space="preserve">Employee Terminations </w:t>
            </w:r>
          </w:p>
          <w:p w14:paraId="37C52E40" w14:textId="77777777" w:rsidR="000D1CDE" w:rsidRPr="000D1CDE" w:rsidRDefault="000D1CDE" w:rsidP="000D1CDE">
            <w:pPr>
              <w:numPr>
                <w:ilvl w:val="0"/>
                <w:numId w:val="7"/>
              </w:numPr>
              <w:spacing w:line="240" w:lineRule="auto"/>
              <w:rPr>
                <w:rFonts w:eastAsia="Calibri" w:cs="Times New Roman"/>
                <w:color w:val="0D0D0D" w:themeColor="text1" w:themeTint="F2"/>
                <w:sz w:val="22"/>
                <w:szCs w:val="22"/>
              </w:rPr>
            </w:pPr>
            <w:r w:rsidRPr="000D1CDE">
              <w:rPr>
                <w:rFonts w:eastAsia="Calibri" w:cs="Times New Roman"/>
                <w:color w:val="0D0D0D" w:themeColor="text1" w:themeTint="F2"/>
                <w:sz w:val="22"/>
                <w:szCs w:val="22"/>
              </w:rPr>
              <w:t>Corrective Coaching Process</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686B142C" w14:textId="28374ED1" w:rsidR="004F4A4F" w:rsidRDefault="005D2972" w:rsidP="004F4A4F">
            <w:pPr>
              <w:pStyle w:val="ListParagraph"/>
              <w:numPr>
                <w:ilvl w:val="0"/>
                <w:numId w:val="8"/>
              </w:numPr>
              <w:rPr>
                <w:sz w:val="22"/>
                <w:szCs w:val="22"/>
              </w:rPr>
            </w:pPr>
            <w:r>
              <w:rPr>
                <w:sz w:val="22"/>
                <w:szCs w:val="22"/>
              </w:rPr>
              <w:t>Efficient and effective benefits open enrollment for our staff</w:t>
            </w:r>
          </w:p>
          <w:p w14:paraId="6CD76EBB" w14:textId="6677E9B4" w:rsidR="005D2972" w:rsidRDefault="005D2972" w:rsidP="004F4A4F">
            <w:pPr>
              <w:pStyle w:val="ListParagraph"/>
              <w:numPr>
                <w:ilvl w:val="0"/>
                <w:numId w:val="8"/>
              </w:numPr>
              <w:rPr>
                <w:sz w:val="22"/>
                <w:szCs w:val="22"/>
              </w:rPr>
            </w:pPr>
            <w:r>
              <w:rPr>
                <w:sz w:val="22"/>
                <w:szCs w:val="22"/>
              </w:rPr>
              <w:t>Compliance and staff engagement with 401K</w:t>
            </w:r>
          </w:p>
          <w:p w14:paraId="214D9754" w14:textId="62DECD16" w:rsidR="005D2972" w:rsidRDefault="005D2972" w:rsidP="004F4A4F">
            <w:pPr>
              <w:pStyle w:val="ListParagraph"/>
              <w:numPr>
                <w:ilvl w:val="0"/>
                <w:numId w:val="8"/>
              </w:numPr>
              <w:rPr>
                <w:sz w:val="22"/>
                <w:szCs w:val="22"/>
              </w:rPr>
            </w:pPr>
            <w:r>
              <w:rPr>
                <w:sz w:val="22"/>
                <w:szCs w:val="22"/>
              </w:rPr>
              <w:t>Efficient and effective Hiring Process and oversite of Onboarding</w:t>
            </w:r>
          </w:p>
          <w:p w14:paraId="186EB52A" w14:textId="6D2291AA" w:rsidR="005D2972" w:rsidRDefault="005D2972" w:rsidP="004F4A4F">
            <w:pPr>
              <w:pStyle w:val="ListParagraph"/>
              <w:numPr>
                <w:ilvl w:val="0"/>
                <w:numId w:val="8"/>
              </w:numPr>
              <w:rPr>
                <w:sz w:val="22"/>
                <w:szCs w:val="22"/>
              </w:rPr>
            </w:pPr>
            <w:r>
              <w:rPr>
                <w:sz w:val="22"/>
                <w:szCs w:val="22"/>
              </w:rPr>
              <w:t>HR Network strength for HR collaboration and best practices</w:t>
            </w:r>
          </w:p>
          <w:p w14:paraId="69A416EA" w14:textId="175930DD" w:rsidR="005D2972" w:rsidRPr="004F4A4F" w:rsidRDefault="005D2972" w:rsidP="004F4A4F">
            <w:pPr>
              <w:pStyle w:val="ListParagraph"/>
              <w:numPr>
                <w:ilvl w:val="0"/>
                <w:numId w:val="8"/>
              </w:numPr>
              <w:rPr>
                <w:sz w:val="22"/>
                <w:szCs w:val="22"/>
              </w:rPr>
            </w:pPr>
            <w:r>
              <w:rPr>
                <w:sz w:val="22"/>
                <w:szCs w:val="22"/>
              </w:rPr>
              <w:t>Empower and equip staff with HR systems and processes</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2B190F63" w14:textId="77777777" w:rsidR="005D2972" w:rsidRDefault="005D2972" w:rsidP="00850CAD">
            <w:pPr>
              <w:pStyle w:val="Heading3"/>
              <w:rPr>
                <w:sz w:val="24"/>
              </w:rPr>
            </w:pPr>
          </w:p>
          <w:p w14:paraId="16281F34" w14:textId="77777777" w:rsidR="005D2972" w:rsidRDefault="005D2972" w:rsidP="00850CAD">
            <w:pPr>
              <w:pStyle w:val="Heading3"/>
              <w:rPr>
                <w:sz w:val="24"/>
              </w:rPr>
            </w:pPr>
          </w:p>
          <w:p w14:paraId="22AC78ED" w14:textId="77777777" w:rsidR="005D2972" w:rsidRDefault="005D2972" w:rsidP="00850CAD">
            <w:pPr>
              <w:pStyle w:val="Heading3"/>
              <w:rPr>
                <w:sz w:val="24"/>
              </w:rPr>
            </w:pPr>
          </w:p>
          <w:p w14:paraId="3C62D371" w14:textId="1C41C843" w:rsidR="000E766F" w:rsidRPr="00941EC0" w:rsidRDefault="000E766F" w:rsidP="00850CAD">
            <w:pPr>
              <w:pStyle w:val="Heading3"/>
              <w:rPr>
                <w:sz w:val="24"/>
              </w:rPr>
            </w:pPr>
            <w:bookmarkStart w:id="0" w:name="_GoBack"/>
            <w:bookmarkEnd w:id="0"/>
            <w:r w:rsidRPr="00941EC0">
              <w:rPr>
                <w:sz w:val="24"/>
              </w:rPr>
              <w:lastRenderedPageBreak/>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42936D8B"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0AD2479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7D2790B"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3F059312" w14:textId="3946CAAB" w:rsidR="00C557FE" w:rsidRPr="00C557FE"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53E7DE06" w14:textId="062EC227"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013D66C6"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Sedentary work. </w:t>
            </w:r>
            <w:r w:rsidRPr="00DE6F58">
              <w:rPr>
                <w:rFonts w:eastAsia="Times New Roman" w:cs="Times New Roman"/>
                <w:color w:val="595959"/>
                <w:sz w:val="22"/>
                <w:szCs w:val="22"/>
              </w:rPr>
              <w:t>Exerting up to 10 pounds of force occasionally and/or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14:paraId="29BC2EF4" w14:textId="4ADB074B"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33621757"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006DEA77" w14:textId="77777777" w:rsidR="000D1CDE" w:rsidRDefault="00C557FE" w:rsidP="000D1CDE">
            <w:pPr>
              <w:spacing w:before="100" w:beforeAutospacing="1" w:after="100" w:afterAutospacing="1" w:line="240" w:lineRule="auto"/>
              <w:outlineLvl w:val="0"/>
              <w:rPr>
                <w:rFonts w:eastAsia="Times New Roman" w:cs="Times New Roman"/>
                <w:b/>
                <w:i/>
                <w:color w:val="FF0000"/>
                <w:sz w:val="20"/>
              </w:rPr>
            </w:pPr>
            <w:r w:rsidRPr="00DE6F58">
              <w:rPr>
                <w:rFonts w:eastAsia="Times New Roman" w:cs="Times New Roman"/>
                <w:b/>
                <w:color w:val="595959"/>
                <w:sz w:val="22"/>
                <w:szCs w:val="22"/>
                <w:u w:val="single"/>
              </w:rPr>
              <w:lastRenderedPageBreak/>
              <w:t>The conditions the worker will be subject to in this position.</w:t>
            </w:r>
            <w:r w:rsidRPr="00DE6F58">
              <w:rPr>
                <w:rFonts w:eastAsia="Times New Roman" w:cs="Times New Roman"/>
                <w:b/>
                <w:color w:val="595959"/>
                <w:sz w:val="22"/>
                <w:szCs w:val="22"/>
              </w:rPr>
              <w:t xml:space="preserve"> </w:t>
            </w:r>
          </w:p>
          <w:p w14:paraId="4CEC785D" w14:textId="57E828B1" w:rsidR="00C557FE" w:rsidRPr="00DE6F58" w:rsidRDefault="00C557FE" w:rsidP="000D1CDE">
            <w:p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environmental conditions. Protection from weather conditions but not necessarily from temperature changes.</w:t>
            </w:r>
          </w:p>
          <w:p w14:paraId="715445EB" w14:textId="6FA54FC9" w:rsidR="006E640E" w:rsidRPr="000D1CDE" w:rsidRDefault="00C557FE" w:rsidP="000D1CDE">
            <w:pPr>
              <w:numPr>
                <w:ilvl w:val="0"/>
                <w:numId w:val="12"/>
              </w:numPr>
              <w:spacing w:line="240" w:lineRule="auto"/>
              <w:outlineLvl w:val="0"/>
              <w:rPr>
                <w:rFonts w:eastAsia="Times New Roman" w:cs="Times New Roman"/>
                <w:color w:val="595959"/>
                <w:sz w:val="22"/>
                <w:szCs w:val="22"/>
              </w:rPr>
            </w:pPr>
            <w:r w:rsidRPr="00DE6F58">
              <w:rPr>
                <w:rFonts w:eastAsia="Times New Roman" w:cs="Times New Roman"/>
                <w:color w:val="595959"/>
                <w:sz w:val="22"/>
                <w:szCs w:val="22"/>
              </w:rPr>
              <w:t>None. The worker is not substantially exposed to adverse environmental conditions (such as in typical office or administrative work.)</w:t>
            </w: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altName w:val="Courier New"/>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4E3907"/>
    <w:multiLevelType w:val="hybridMultilevel"/>
    <w:tmpl w:val="C784B668"/>
    <w:lvl w:ilvl="0" w:tplc="04090001">
      <w:start w:val="1"/>
      <w:numFmt w:val="bullet"/>
      <w:lvlText w:val=""/>
      <w:lvlJc w:val="left"/>
      <w:pPr>
        <w:ind w:left="1080" w:hanging="360"/>
      </w:pPr>
      <w:rPr>
        <w:rFonts w:ascii="Symbol" w:hAnsi="Symbol" w:hint="default"/>
      </w:rPr>
    </w:lvl>
    <w:lvl w:ilvl="1" w:tplc="7396BE58">
      <w:start w:val="1"/>
      <w:numFmt w:val="bullet"/>
      <w:lvlText w:val="-"/>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B8C6F65"/>
    <w:multiLevelType w:val="hybridMultilevel"/>
    <w:tmpl w:val="95848CD8"/>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091CCC"/>
    <w:multiLevelType w:val="hybridMultilevel"/>
    <w:tmpl w:val="E19A7C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910758"/>
    <w:multiLevelType w:val="hybridMultilevel"/>
    <w:tmpl w:val="E81AC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4120B3"/>
    <w:multiLevelType w:val="hybridMultilevel"/>
    <w:tmpl w:val="575CCD6E"/>
    <w:lvl w:ilvl="0" w:tplc="BC22EDF2">
      <w:start w:val="1"/>
      <w:numFmt w:val="bullet"/>
      <w:lvlText w:val=""/>
      <w:lvlJc w:val="left"/>
      <w:pPr>
        <w:ind w:left="720" w:hanging="360"/>
      </w:pPr>
      <w:rPr>
        <w:rFonts w:ascii="Symbol" w:hAnsi="Symbol" w:hint="default"/>
      </w:rPr>
    </w:lvl>
    <w:lvl w:ilvl="1" w:tplc="BC22EDF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929F0"/>
    <w:multiLevelType w:val="hybridMultilevel"/>
    <w:tmpl w:val="4A66B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E4A6C38"/>
    <w:multiLevelType w:val="hybridMultilevel"/>
    <w:tmpl w:val="D87ED62C"/>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3"/>
  </w:num>
  <w:num w:numId="7">
    <w:abstractNumId w:val="7"/>
  </w:num>
  <w:num w:numId="8">
    <w:abstractNumId w:val="11"/>
  </w:num>
  <w:num w:numId="9">
    <w:abstractNumId w:val="5"/>
  </w:num>
  <w:num w:numId="10">
    <w:abstractNumId w:val="3"/>
  </w:num>
  <w:num w:numId="11">
    <w:abstractNumId w:val="0"/>
  </w:num>
  <w:num w:numId="12">
    <w:abstractNumId w:val="8"/>
  </w:num>
  <w:num w:numId="13">
    <w:abstractNumId w:val="15"/>
  </w:num>
  <w:num w:numId="14">
    <w:abstractNumId w:val="4"/>
  </w:num>
  <w:num w:numId="15">
    <w:abstractNumId w:val="1"/>
  </w:num>
  <w:num w:numId="16">
    <w:abstractNumId w:val="6"/>
  </w:num>
  <w:num w:numId="17">
    <w:abstractNumId w:val="10"/>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D1CDE"/>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60957"/>
    <w:rsid w:val="0046104A"/>
    <w:rsid w:val="004717C5"/>
    <w:rsid w:val="004920D7"/>
    <w:rsid w:val="004F4A4F"/>
    <w:rsid w:val="00523479"/>
    <w:rsid w:val="00543DB7"/>
    <w:rsid w:val="005729B0"/>
    <w:rsid w:val="005D2972"/>
    <w:rsid w:val="0060222F"/>
    <w:rsid w:val="00641630"/>
    <w:rsid w:val="00643CBB"/>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B3C40"/>
    <w:rsid w:val="00A42540"/>
    <w:rsid w:val="00A50939"/>
    <w:rsid w:val="00A622F5"/>
    <w:rsid w:val="00A90131"/>
    <w:rsid w:val="00AA6A40"/>
    <w:rsid w:val="00AB3FE9"/>
    <w:rsid w:val="00B5664D"/>
    <w:rsid w:val="00BA5B40"/>
    <w:rsid w:val="00BB7D00"/>
    <w:rsid w:val="00BD0206"/>
    <w:rsid w:val="00C2098A"/>
    <w:rsid w:val="00C5444A"/>
    <w:rsid w:val="00C557FE"/>
    <w:rsid w:val="00C612DA"/>
    <w:rsid w:val="00C7741E"/>
    <w:rsid w:val="00C875AB"/>
    <w:rsid w:val="00C87710"/>
    <w:rsid w:val="00CA3DF1"/>
    <w:rsid w:val="00CA4581"/>
    <w:rsid w:val="00CC7E27"/>
    <w:rsid w:val="00CE18D5"/>
    <w:rsid w:val="00CE7D84"/>
    <w:rsid w:val="00D04109"/>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806A-D6C2-4173-AF10-C3340964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3</cp:revision>
  <cp:lastPrinted>2020-09-14T14:09:00Z</cp:lastPrinted>
  <dcterms:created xsi:type="dcterms:W3CDTF">2021-05-12T18:53:00Z</dcterms:created>
  <dcterms:modified xsi:type="dcterms:W3CDTF">2022-06-03T16:04:00Z</dcterms:modified>
</cp:coreProperties>
</file>