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7C69D576"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FC250C">
              <w:rPr>
                <w:rFonts w:ascii="Montserrat" w:hAnsi="Montserrat"/>
                <w:b/>
                <w:color w:val="000000" w:themeColor="text1"/>
                <w:sz w:val="24"/>
                <w:szCs w:val="24"/>
              </w:rPr>
              <w:t xml:space="preserve"> </w:t>
            </w:r>
            <w:r w:rsidR="00FC250C" w:rsidRPr="00526258">
              <w:rPr>
                <w:rFonts w:ascii="Montserrat" w:hAnsi="Montserrat"/>
                <w:color w:val="000000" w:themeColor="text1"/>
                <w:sz w:val="24"/>
                <w:szCs w:val="24"/>
              </w:rPr>
              <w:t>Director of Finance</w:t>
            </w:r>
          </w:p>
          <w:p w14:paraId="1CFAC369" w14:textId="6372AD4C" w:rsidR="002947B7" w:rsidRPr="0060222F" w:rsidRDefault="00AB3FE9" w:rsidP="00850CAD">
            <w:pPr>
              <w:spacing w:line="240" w:lineRule="auto"/>
              <w:rPr>
                <w:rFonts w:ascii="Montserrat" w:hAnsi="Montserrat"/>
                <w:b/>
                <w:sz w:val="24"/>
                <w:szCs w:val="24"/>
              </w:rPr>
            </w:pPr>
            <w:bookmarkStart w:id="0" w:name="_GoBack"/>
            <w:bookmarkEnd w:id="0"/>
            <w:r w:rsidRPr="0060222F">
              <w:rPr>
                <w:rStyle w:val="Heading5Char"/>
                <w:rFonts w:ascii="Montserrat" w:hAnsi="Montserrat"/>
                <w:b/>
                <w:sz w:val="24"/>
                <w:szCs w:val="24"/>
              </w:rPr>
              <w:t>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FC250C" w:rsidRPr="00526258">
              <w:rPr>
                <w:rFonts w:ascii="Montserrat" w:hAnsi="Montserrat"/>
                <w:color w:val="000000" w:themeColor="text1"/>
                <w:sz w:val="24"/>
                <w:szCs w:val="24"/>
              </w:rPr>
              <w:t>Central Support Ministry Services</w:t>
            </w:r>
          </w:p>
          <w:p w14:paraId="5B276617" w14:textId="2E2512D5"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FC250C" w:rsidRPr="00FC250C">
              <w:rPr>
                <w:b/>
                <w:color w:val="000000" w:themeColor="text1"/>
                <w:sz w:val="24"/>
                <w:szCs w:val="24"/>
              </w:rPr>
              <w:t>Executive Director of Ministry Services</w:t>
            </w:r>
          </w:p>
          <w:p w14:paraId="420A5CA2" w14:textId="342D82EE"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SALARY </w:t>
            </w:r>
          </w:p>
          <w:p w14:paraId="1DF51CCB" w14:textId="445D11B6" w:rsidR="000E766F" w:rsidRPr="0060222F" w:rsidRDefault="00C87710" w:rsidP="004F4A4F">
            <w:pPr>
              <w:pStyle w:val="Heading5"/>
              <w:spacing w:line="240" w:lineRule="auto"/>
              <w:jc w:val="both"/>
              <w:rPr>
                <w:rFonts w:ascii="Montserrat" w:hAnsi="Montserrat"/>
                <w:b/>
                <w:color w:val="000000" w:themeColor="text1"/>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FC250C" w:rsidRPr="00526258">
              <w:rPr>
                <w:rFonts w:ascii="Montserrat" w:hAnsi="Montserrat"/>
                <w:color w:val="auto"/>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209F54CB" w:rsidR="00AB3FE9" w:rsidRPr="00FC250C" w:rsidRDefault="00FC250C" w:rsidP="00FC250C">
            <w:pPr>
              <w:tabs>
                <w:tab w:val="left" w:pos="3020"/>
              </w:tabs>
              <w:spacing w:line="360" w:lineRule="auto"/>
              <w:ind w:right="1080"/>
              <w:rPr>
                <w:rFonts w:ascii="Montserrat" w:hAnsi="Montserrat"/>
                <w:sz w:val="22"/>
                <w:szCs w:val="22"/>
              </w:rPr>
            </w:pPr>
            <w:r w:rsidRPr="00FC250C">
              <w:rPr>
                <w:rFonts w:ascii="Montserrat" w:hAnsi="Montserrat"/>
                <w:sz w:val="22"/>
                <w:szCs w:val="22"/>
              </w:rPr>
              <w:t>The Director of Finance is responsible for leading the team that will establish excellent financial stewardship. The primary focus will be developing and implementing internal systems for collecting, analyzing, verifying, reporting, and managing the financial information of the entire organization. This position will lead the finance team to achieve accounting operational objectives by contributing accounting information, completing audits, determining system improvements and implementing change that improves the overall financial condition of the organization. In addition to leadership of the team, this position will be exposed to a large amount of confidential information, therefore requiring considerable judgment, tact and people skills to be effective</w:t>
            </w:r>
          </w:p>
          <w:p w14:paraId="3F6CDEE9" w14:textId="0E026E81" w:rsidR="002C2CDD" w:rsidRPr="00FA0D21" w:rsidRDefault="00245B03" w:rsidP="00850CAD">
            <w:pPr>
              <w:pStyle w:val="Heading3"/>
              <w:rPr>
                <w:sz w:val="24"/>
              </w:rPr>
            </w:pPr>
            <w:r w:rsidRPr="00FA0D21">
              <w:rPr>
                <w:sz w:val="24"/>
              </w:rPr>
              <w:t xml:space="preserve">POSITION RESPONSIBILITIES: </w:t>
            </w:r>
          </w:p>
          <w:p w14:paraId="3CDD7347" w14:textId="77777777" w:rsidR="00A6142F" w:rsidRPr="00A6142F" w:rsidRDefault="00A6142F" w:rsidP="00B47250">
            <w:pPr>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t>Ability to lead and mobilize a team</w:t>
            </w:r>
          </w:p>
          <w:p w14:paraId="169C4084" w14:textId="6860A7D7" w:rsidR="00A6142F" w:rsidRPr="00A6142F" w:rsidRDefault="00A6142F" w:rsidP="00B47250">
            <w:pPr>
              <w:pStyle w:val="ListParagraph"/>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t xml:space="preserve">Assist </w:t>
            </w:r>
            <w:r w:rsidR="006710DB">
              <w:rPr>
                <w:rFonts w:ascii="Montserrat" w:hAnsi="Montserrat"/>
                <w:sz w:val="22"/>
                <w:szCs w:val="22"/>
              </w:rPr>
              <w:t xml:space="preserve">Executive </w:t>
            </w:r>
            <w:r w:rsidRPr="00A6142F">
              <w:rPr>
                <w:rFonts w:ascii="Montserrat" w:hAnsi="Montserrat"/>
                <w:sz w:val="22"/>
                <w:szCs w:val="22"/>
              </w:rPr>
              <w:t xml:space="preserve">Director of </w:t>
            </w:r>
            <w:r w:rsidR="006710DB">
              <w:rPr>
                <w:rFonts w:ascii="Montserrat" w:hAnsi="Montserrat"/>
                <w:sz w:val="22"/>
                <w:szCs w:val="22"/>
              </w:rPr>
              <w:t>Ministry Services</w:t>
            </w:r>
            <w:r w:rsidRPr="00A6142F">
              <w:rPr>
                <w:rFonts w:ascii="Montserrat" w:hAnsi="Montserrat"/>
                <w:sz w:val="22"/>
                <w:szCs w:val="22"/>
              </w:rPr>
              <w:t xml:space="preserve"> in preparing for financial reviews</w:t>
            </w:r>
          </w:p>
          <w:p w14:paraId="0363B3A4" w14:textId="77777777" w:rsidR="00A6142F" w:rsidRPr="00A6142F" w:rsidRDefault="00A6142F" w:rsidP="00B47250">
            <w:pPr>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t>Research and implement technology/software that will advance the efficiency of the team and entire organization from a finance perspective</w:t>
            </w:r>
          </w:p>
          <w:p w14:paraId="22EF4A16" w14:textId="77777777" w:rsidR="00A6142F" w:rsidRPr="00A6142F" w:rsidRDefault="00A6142F" w:rsidP="00B47250">
            <w:pPr>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t>Bi-weekly timecard, time off approvals and individual employee evaluations of the finance team</w:t>
            </w:r>
          </w:p>
          <w:p w14:paraId="50F9E79D" w14:textId="77777777" w:rsidR="00A6142F" w:rsidRPr="00A6142F" w:rsidRDefault="00A6142F" w:rsidP="00B47250">
            <w:pPr>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lastRenderedPageBreak/>
              <w:t>Research and interpret guidelines across the organization including recommendations of new accounting procedures and processes</w:t>
            </w:r>
          </w:p>
          <w:p w14:paraId="1E373FAA" w14:textId="77777777" w:rsidR="00A6142F" w:rsidRPr="00A6142F" w:rsidRDefault="00A6142F" w:rsidP="00B47250">
            <w:pPr>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t>Avoid legal challenges by understanding current and proposed legislation, enforcing accounting regulations and recommending new procedures</w:t>
            </w:r>
          </w:p>
          <w:p w14:paraId="48921720" w14:textId="77777777" w:rsidR="00A6142F" w:rsidRPr="00A6142F" w:rsidRDefault="00A6142F" w:rsidP="00B47250">
            <w:pPr>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t>General Ledger Accounting</w:t>
            </w:r>
          </w:p>
          <w:p w14:paraId="278E1393" w14:textId="77777777" w:rsidR="00A6142F" w:rsidRPr="00A6142F" w:rsidRDefault="00A6142F" w:rsidP="00B47250">
            <w:pPr>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t>Manage the accounting cycle and month end close related duties</w:t>
            </w:r>
          </w:p>
          <w:p w14:paraId="1091A5ED" w14:textId="77777777" w:rsidR="00A6142F" w:rsidRPr="00A6142F" w:rsidRDefault="00A6142F" w:rsidP="00B47250">
            <w:pPr>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t>Record Bi-Weekly Payroll</w:t>
            </w:r>
          </w:p>
          <w:p w14:paraId="3E973F6D" w14:textId="77777777" w:rsidR="00A6142F" w:rsidRPr="00A6142F" w:rsidRDefault="00A6142F" w:rsidP="00B47250">
            <w:pPr>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t>Manage all internal and external audit processes</w:t>
            </w:r>
          </w:p>
          <w:p w14:paraId="4B6919A1" w14:textId="77777777" w:rsidR="00A6142F" w:rsidRPr="00A6142F" w:rsidRDefault="00A6142F" w:rsidP="00B47250">
            <w:pPr>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t>Maintain financial security by establishing effective and consistent internal controls</w:t>
            </w:r>
          </w:p>
          <w:p w14:paraId="1A0917F2" w14:textId="77777777" w:rsidR="00A6142F" w:rsidRPr="00A6142F" w:rsidRDefault="00A6142F" w:rsidP="00B47250">
            <w:pPr>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t>Directs and manages all accounting consolidations</w:t>
            </w:r>
          </w:p>
          <w:p w14:paraId="69E86C50" w14:textId="77777777" w:rsidR="00A6142F" w:rsidRPr="00A6142F" w:rsidRDefault="00A6142F" w:rsidP="00B47250">
            <w:pPr>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t>Maintain effective accounting controls by establishing a clearly defined chart of accounts and defining related accounting policies and procedures</w:t>
            </w:r>
          </w:p>
          <w:p w14:paraId="14902B42" w14:textId="77777777" w:rsidR="00A6142F" w:rsidRPr="00A6142F" w:rsidRDefault="00A6142F" w:rsidP="00B47250">
            <w:pPr>
              <w:numPr>
                <w:ilvl w:val="0"/>
                <w:numId w:val="1"/>
              </w:numPr>
              <w:tabs>
                <w:tab w:val="left" w:pos="3020"/>
              </w:tabs>
              <w:spacing w:line="360" w:lineRule="auto"/>
              <w:ind w:right="1080"/>
              <w:rPr>
                <w:rFonts w:ascii="Montserrat" w:hAnsi="Montserrat"/>
                <w:sz w:val="22"/>
                <w:szCs w:val="22"/>
              </w:rPr>
            </w:pPr>
            <w:r w:rsidRPr="00A6142F">
              <w:rPr>
                <w:rFonts w:ascii="Montserrat" w:hAnsi="Montserrat"/>
                <w:sz w:val="22"/>
                <w:szCs w:val="22"/>
              </w:rPr>
              <w:t>Protect organization’s value by keeping information confidential</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1F33A972" w14:textId="77777777" w:rsidR="00DA7026" w:rsidRPr="00DA7026" w:rsidRDefault="00DA7026" w:rsidP="00B47250">
            <w:pPr>
              <w:numPr>
                <w:ilvl w:val="0"/>
                <w:numId w:val="1"/>
              </w:numPr>
              <w:spacing w:line="240" w:lineRule="auto"/>
              <w:rPr>
                <w:sz w:val="22"/>
                <w:szCs w:val="22"/>
              </w:rPr>
            </w:pPr>
            <w:r w:rsidRPr="00DA7026">
              <w:rPr>
                <w:sz w:val="22"/>
                <w:szCs w:val="22"/>
              </w:rPr>
              <w:t>Verbal and written communication skills</w:t>
            </w:r>
          </w:p>
          <w:p w14:paraId="1BF83190" w14:textId="77777777" w:rsidR="00DA7026" w:rsidRPr="00DA7026" w:rsidRDefault="00DA7026" w:rsidP="00B47250">
            <w:pPr>
              <w:numPr>
                <w:ilvl w:val="0"/>
                <w:numId w:val="1"/>
              </w:numPr>
              <w:spacing w:line="240" w:lineRule="auto"/>
              <w:rPr>
                <w:sz w:val="22"/>
                <w:szCs w:val="22"/>
              </w:rPr>
            </w:pPr>
            <w:r w:rsidRPr="00DA7026">
              <w:rPr>
                <w:sz w:val="22"/>
                <w:szCs w:val="22"/>
              </w:rPr>
              <w:t>High level of integrity with confidential information</w:t>
            </w:r>
          </w:p>
          <w:p w14:paraId="1B922F2A" w14:textId="77777777" w:rsidR="00DA7026" w:rsidRPr="00DA7026" w:rsidRDefault="00DA7026" w:rsidP="00B47250">
            <w:pPr>
              <w:numPr>
                <w:ilvl w:val="0"/>
                <w:numId w:val="1"/>
              </w:numPr>
              <w:spacing w:line="240" w:lineRule="auto"/>
              <w:rPr>
                <w:sz w:val="22"/>
                <w:szCs w:val="22"/>
              </w:rPr>
            </w:pPr>
            <w:r w:rsidRPr="00DA7026">
              <w:rPr>
                <w:sz w:val="22"/>
                <w:szCs w:val="22"/>
              </w:rPr>
              <w:t>Maintain a positive attitude in interacting with staff and teams</w:t>
            </w:r>
          </w:p>
          <w:p w14:paraId="4AB7045D" w14:textId="77777777" w:rsidR="00AB3FE9" w:rsidRPr="00DA7026" w:rsidRDefault="00AB3FE9" w:rsidP="00B47250">
            <w:pPr>
              <w:numPr>
                <w:ilvl w:val="0"/>
                <w:numId w:val="1"/>
              </w:numPr>
              <w:spacing w:line="240" w:lineRule="auto"/>
              <w:rPr>
                <w:sz w:val="22"/>
                <w:szCs w:val="22"/>
              </w:rPr>
            </w:pPr>
            <w:r w:rsidRPr="00DA7026">
              <w:rPr>
                <w:sz w:val="22"/>
                <w:szCs w:val="22"/>
              </w:rPr>
              <w:t>Being a tithing Missional Member in good standing at CedarCreek Church</w:t>
            </w:r>
          </w:p>
          <w:p w14:paraId="6A2F3E72" w14:textId="77777777" w:rsidR="00AB3FE9" w:rsidRPr="00DA7026" w:rsidRDefault="00AB3FE9" w:rsidP="00B47250">
            <w:pPr>
              <w:numPr>
                <w:ilvl w:val="0"/>
                <w:numId w:val="1"/>
              </w:numPr>
              <w:spacing w:line="240" w:lineRule="auto"/>
              <w:rPr>
                <w:sz w:val="22"/>
                <w:szCs w:val="22"/>
              </w:rPr>
            </w:pPr>
            <w:r w:rsidRPr="00DA7026">
              <w:rPr>
                <w:sz w:val="22"/>
                <w:szCs w:val="22"/>
              </w:rPr>
              <w:t>Attendance at a weekend service and in a Group or on the DreamTeam</w:t>
            </w:r>
          </w:p>
          <w:p w14:paraId="317B9360" w14:textId="77777777" w:rsidR="00AB3FE9" w:rsidRPr="00DA7026" w:rsidRDefault="00AB3FE9" w:rsidP="00B47250">
            <w:pPr>
              <w:numPr>
                <w:ilvl w:val="0"/>
                <w:numId w:val="1"/>
              </w:numPr>
              <w:spacing w:line="240" w:lineRule="auto"/>
              <w:rPr>
                <w:sz w:val="22"/>
                <w:szCs w:val="22"/>
              </w:rPr>
            </w:pPr>
            <w:r w:rsidRPr="00DA7026">
              <w:rPr>
                <w:sz w:val="22"/>
                <w:szCs w:val="22"/>
              </w:rPr>
              <w:t>Modeling and championing the Mission, Vision, and Core Values of CedarCreek Church</w:t>
            </w:r>
          </w:p>
          <w:p w14:paraId="6CD19C4B" w14:textId="1AEF24C3" w:rsidR="00AB3FE9" w:rsidRDefault="00AB3FE9" w:rsidP="00B47250">
            <w:pPr>
              <w:numPr>
                <w:ilvl w:val="0"/>
                <w:numId w:val="1"/>
              </w:numPr>
              <w:spacing w:line="240" w:lineRule="auto"/>
              <w:rPr>
                <w:sz w:val="22"/>
                <w:szCs w:val="22"/>
              </w:rPr>
            </w:pPr>
            <w:r w:rsidRPr="00DA7026">
              <w:rPr>
                <w:sz w:val="22"/>
                <w:szCs w:val="22"/>
              </w:rPr>
              <w:t>Honoring the CedarCreek Church Staff 10 Points of Accountability</w:t>
            </w:r>
          </w:p>
          <w:p w14:paraId="444DD718" w14:textId="77777777" w:rsidR="002D1321" w:rsidRPr="002D1321" w:rsidRDefault="002D1321" w:rsidP="00B47250">
            <w:pPr>
              <w:numPr>
                <w:ilvl w:val="0"/>
                <w:numId w:val="1"/>
              </w:numPr>
              <w:spacing w:line="240" w:lineRule="auto"/>
              <w:rPr>
                <w:sz w:val="22"/>
                <w:szCs w:val="22"/>
              </w:rPr>
            </w:pPr>
            <w:r w:rsidRPr="002D1321">
              <w:rPr>
                <w:sz w:val="22"/>
                <w:szCs w:val="22"/>
              </w:rPr>
              <w:t>Experience in bookkeeping, cash receipts, general ledger and financial reporting</w:t>
            </w:r>
          </w:p>
          <w:p w14:paraId="7941901A" w14:textId="77777777" w:rsidR="002D1321" w:rsidRPr="002D1321" w:rsidRDefault="002D1321" w:rsidP="00B47250">
            <w:pPr>
              <w:numPr>
                <w:ilvl w:val="0"/>
                <w:numId w:val="1"/>
              </w:numPr>
              <w:spacing w:line="240" w:lineRule="auto"/>
              <w:rPr>
                <w:sz w:val="22"/>
                <w:szCs w:val="22"/>
              </w:rPr>
            </w:pPr>
            <w:r w:rsidRPr="002D1321">
              <w:rPr>
                <w:sz w:val="22"/>
                <w:szCs w:val="22"/>
              </w:rPr>
              <w:t xml:space="preserve">General computer skills </w:t>
            </w:r>
          </w:p>
          <w:p w14:paraId="63423439" w14:textId="77777777" w:rsidR="002D1321" w:rsidRPr="002D1321" w:rsidRDefault="002D1321" w:rsidP="00B47250">
            <w:pPr>
              <w:numPr>
                <w:ilvl w:val="0"/>
                <w:numId w:val="1"/>
              </w:numPr>
              <w:spacing w:line="240" w:lineRule="auto"/>
              <w:rPr>
                <w:sz w:val="22"/>
                <w:szCs w:val="22"/>
              </w:rPr>
            </w:pPr>
            <w:r w:rsidRPr="002D1321">
              <w:rPr>
                <w:sz w:val="22"/>
                <w:szCs w:val="22"/>
              </w:rPr>
              <w:t>Experience with Outlook, Excel, Word, QuickBooks or similar accounting software</w:t>
            </w:r>
          </w:p>
          <w:p w14:paraId="7DDA556E" w14:textId="77777777" w:rsidR="002D1321" w:rsidRPr="002D1321" w:rsidRDefault="002D1321" w:rsidP="00B47250">
            <w:pPr>
              <w:numPr>
                <w:ilvl w:val="0"/>
                <w:numId w:val="1"/>
              </w:numPr>
              <w:spacing w:line="240" w:lineRule="auto"/>
              <w:rPr>
                <w:sz w:val="22"/>
                <w:szCs w:val="22"/>
              </w:rPr>
            </w:pPr>
            <w:r w:rsidRPr="002D1321">
              <w:rPr>
                <w:sz w:val="22"/>
                <w:szCs w:val="22"/>
              </w:rPr>
              <w:t>2-4 years accounting/bookkeeping experience</w:t>
            </w:r>
          </w:p>
          <w:p w14:paraId="3C0C5E4A" w14:textId="77777777" w:rsidR="002D1321" w:rsidRPr="002D1321" w:rsidRDefault="002D1321" w:rsidP="00B47250">
            <w:pPr>
              <w:numPr>
                <w:ilvl w:val="0"/>
                <w:numId w:val="1"/>
              </w:numPr>
              <w:spacing w:line="240" w:lineRule="auto"/>
              <w:rPr>
                <w:sz w:val="22"/>
                <w:szCs w:val="22"/>
              </w:rPr>
            </w:pPr>
            <w:r w:rsidRPr="002D1321">
              <w:rPr>
                <w:sz w:val="22"/>
                <w:szCs w:val="22"/>
              </w:rPr>
              <w:t>Accounting/Finance Degree a plus</w:t>
            </w:r>
          </w:p>
          <w:p w14:paraId="6F6E35A1" w14:textId="5F7B7BB8" w:rsidR="00F15EAD" w:rsidRPr="00FA0D21" w:rsidRDefault="00025810" w:rsidP="00850CAD">
            <w:pPr>
              <w:pStyle w:val="Heading3"/>
              <w:rPr>
                <w:sz w:val="24"/>
              </w:rPr>
            </w:pPr>
            <w:r w:rsidRPr="00FA0D21">
              <w:rPr>
                <w:sz w:val="24"/>
              </w:rPr>
              <w:lastRenderedPageBreak/>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4EFA45BC" w14:textId="77777777" w:rsidR="006710DB" w:rsidRPr="006710DB" w:rsidRDefault="006710DB" w:rsidP="006710DB">
            <w:pPr>
              <w:pStyle w:val="ListParagraph"/>
              <w:numPr>
                <w:ilvl w:val="1"/>
                <w:numId w:val="17"/>
              </w:numPr>
              <w:spacing w:line="240" w:lineRule="auto"/>
              <w:contextualSpacing w:val="0"/>
              <w:rPr>
                <w:sz w:val="22"/>
                <w:szCs w:val="22"/>
              </w:rPr>
            </w:pPr>
            <w:r w:rsidRPr="006710DB">
              <w:rPr>
                <w:sz w:val="22"/>
                <w:szCs w:val="22"/>
              </w:rPr>
              <w:t>All Dashboard Metrics</w:t>
            </w:r>
          </w:p>
          <w:p w14:paraId="72521F27" w14:textId="77777777" w:rsidR="006710DB" w:rsidRPr="006710DB" w:rsidRDefault="006710DB" w:rsidP="006710DB">
            <w:pPr>
              <w:pStyle w:val="ListParagraph"/>
              <w:numPr>
                <w:ilvl w:val="1"/>
                <w:numId w:val="17"/>
              </w:numPr>
              <w:spacing w:line="240" w:lineRule="auto"/>
              <w:contextualSpacing w:val="0"/>
              <w:rPr>
                <w:sz w:val="22"/>
                <w:szCs w:val="22"/>
              </w:rPr>
            </w:pPr>
            <w:r w:rsidRPr="006710DB">
              <w:rPr>
                <w:sz w:val="22"/>
                <w:szCs w:val="22"/>
              </w:rPr>
              <w:t>Annual Employee Evaluation</w:t>
            </w:r>
          </w:p>
          <w:p w14:paraId="5381FD8C" w14:textId="77777777" w:rsidR="006710DB" w:rsidRPr="006710DB" w:rsidRDefault="006710DB" w:rsidP="006710DB">
            <w:pPr>
              <w:pStyle w:val="ListParagraph"/>
              <w:numPr>
                <w:ilvl w:val="1"/>
                <w:numId w:val="17"/>
              </w:numPr>
              <w:spacing w:line="240" w:lineRule="auto"/>
              <w:contextualSpacing w:val="0"/>
              <w:rPr>
                <w:sz w:val="22"/>
                <w:szCs w:val="22"/>
              </w:rPr>
            </w:pPr>
            <w:r w:rsidRPr="006710DB">
              <w:rPr>
                <w:sz w:val="22"/>
                <w:szCs w:val="22"/>
              </w:rPr>
              <w:t>Healthy components of annual outside financial review</w:t>
            </w:r>
          </w:p>
          <w:p w14:paraId="3CE8D0BB" w14:textId="77777777" w:rsidR="006710DB" w:rsidRPr="006710DB" w:rsidRDefault="006710DB" w:rsidP="006710DB">
            <w:pPr>
              <w:pStyle w:val="ListParagraph"/>
              <w:numPr>
                <w:ilvl w:val="1"/>
                <w:numId w:val="17"/>
              </w:numPr>
              <w:spacing w:line="240" w:lineRule="auto"/>
              <w:contextualSpacing w:val="0"/>
              <w:rPr>
                <w:sz w:val="22"/>
                <w:szCs w:val="22"/>
              </w:rPr>
            </w:pPr>
            <w:r w:rsidRPr="006710DB">
              <w:rPr>
                <w:sz w:val="22"/>
                <w:szCs w:val="22"/>
              </w:rPr>
              <w:t>Timeliness and accuracy related to donor communication and financial reporting</w:t>
            </w:r>
          </w:p>
          <w:p w14:paraId="4A9C6CDA" w14:textId="77777777" w:rsidR="006710DB" w:rsidRPr="006710DB" w:rsidRDefault="006710DB" w:rsidP="006710DB">
            <w:pPr>
              <w:pStyle w:val="ListParagraph"/>
              <w:numPr>
                <w:ilvl w:val="1"/>
                <w:numId w:val="17"/>
              </w:numPr>
              <w:spacing w:line="240" w:lineRule="auto"/>
              <w:contextualSpacing w:val="0"/>
              <w:rPr>
                <w:sz w:val="22"/>
                <w:szCs w:val="22"/>
              </w:rPr>
            </w:pPr>
            <w:r w:rsidRPr="006710DB">
              <w:rPr>
                <w:sz w:val="22"/>
                <w:szCs w:val="22"/>
              </w:rPr>
              <w:t>Timeliness and accuracy related to accounts payable and reimbursements</w:t>
            </w:r>
          </w:p>
          <w:p w14:paraId="4293C4B5" w14:textId="7A8ED67C" w:rsidR="004F4A4F" w:rsidRDefault="004F4A4F" w:rsidP="004F4A4F"/>
          <w:p w14:paraId="54C75B91" w14:textId="7F10A1B7" w:rsidR="006710DB" w:rsidRDefault="006710DB" w:rsidP="004F4A4F"/>
          <w:p w14:paraId="3C18D3BB" w14:textId="1F7F764A" w:rsidR="006710DB" w:rsidRDefault="006710DB" w:rsidP="004F4A4F"/>
          <w:p w14:paraId="77E9C80D" w14:textId="5EAC8C63" w:rsidR="006710DB" w:rsidRDefault="006710DB" w:rsidP="004F4A4F"/>
          <w:p w14:paraId="1C92A0F0" w14:textId="77777777" w:rsidR="006710DB" w:rsidRPr="004F4A4F" w:rsidRDefault="006710DB"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B47250">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B47250">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B47250">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B47250">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013F3802" w14:textId="757683FD" w:rsidR="006E640E"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r w:rsidR="00400266">
              <w:rPr>
                <w:rFonts w:eastAsiaTheme="minorHAnsi"/>
                <w:sz w:val="22"/>
                <w:szCs w:val="22"/>
              </w:rPr>
              <w:t xml:space="preserve"> </w:t>
            </w:r>
            <w:r w:rsidRPr="00FA0D21">
              <w:rPr>
                <w:rFonts w:eastAsiaTheme="minorHAnsi"/>
                <w:sz w:val="22"/>
                <w:szCs w:val="22"/>
              </w:rPr>
              <w:t>assign or reassign duties and responsibilities to this job at any time. This is an at-will</w:t>
            </w:r>
            <w:r w:rsidR="005D4573">
              <w:rPr>
                <w:rFonts w:eastAsiaTheme="minorHAnsi"/>
                <w:sz w:val="22"/>
                <w:szCs w:val="22"/>
              </w:rPr>
              <w:t xml:space="preserve"> </w:t>
            </w: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4B9716E5" w14:textId="4A3D5866" w:rsidR="00C557FE" w:rsidRPr="00DE6F58" w:rsidRDefault="00C557FE" w:rsidP="006C58A7">
            <w:pPr>
              <w:outlineLvl w:val="0"/>
              <w:rPr>
                <w:rFonts w:eastAsia="Times New Roman" w:cs="Times New Roman"/>
                <w:color w:val="595959"/>
                <w:sz w:val="22"/>
                <w:szCs w:val="22"/>
              </w:rPr>
            </w:pPr>
            <w:r w:rsidRPr="00DE6F58">
              <w:rPr>
                <w:rFonts w:eastAsia="Times New Roman" w:cs="Times New Roman"/>
                <w:b/>
                <w:color w:val="595959"/>
                <w:sz w:val="22"/>
                <w:szCs w:val="22"/>
              </w:rPr>
              <w:t>ADA List for Physical Activities and Requirements, Visual Acuity, and Working Conditions of the Position: 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B47250">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B47250">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B47250">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B47250">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B47250">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124609A9" w:rsidR="00C557FE" w:rsidRDefault="00C557FE" w:rsidP="00B47250">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23ED6247" w14:textId="5BF23FA6" w:rsidR="00B47250" w:rsidRPr="00B47250" w:rsidRDefault="00B47250" w:rsidP="00B47250">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B47250">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B47250">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B47250">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445E0CC8" w14:textId="53DB7822" w:rsidR="006710DB" w:rsidRPr="00526258" w:rsidRDefault="00C557FE" w:rsidP="00850CAD">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4034CB0A"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013D66C6" w14:textId="77777777" w:rsidR="00C557FE" w:rsidRPr="00DE6F58" w:rsidRDefault="00C557FE" w:rsidP="00B47250">
            <w:pPr>
              <w:numPr>
                <w:ilvl w:val="0"/>
                <w:numId w:val="1"/>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Sedentary work. </w:t>
            </w:r>
            <w:r w:rsidRPr="00DE6F58">
              <w:rPr>
                <w:rFonts w:eastAsia="Times New Roman" w:cs="Times New Roman"/>
                <w:color w:val="595959"/>
                <w:sz w:val="22"/>
                <w:szCs w:val="22"/>
              </w:rPr>
              <w:t>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14:paraId="2B9C5E32" w14:textId="77777777" w:rsidR="00C557FE" w:rsidRPr="00DE6F58" w:rsidRDefault="00C557FE" w:rsidP="00B47250">
            <w:pPr>
              <w:numPr>
                <w:ilvl w:val="0"/>
                <w:numId w:val="1"/>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Light work. </w:t>
            </w:r>
            <w:r w:rsidRPr="00DE6F58">
              <w:rPr>
                <w:rFonts w:eastAsia="Times New Roman" w:cs="Times New Roman"/>
                <w:color w:val="595959"/>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28D67AB6" w14:textId="77777777" w:rsidR="00C557FE" w:rsidRPr="00DE6F58" w:rsidRDefault="00C557FE" w:rsidP="00B47250">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 xml:space="preserve">Medium work. </w:t>
            </w:r>
            <w:r w:rsidRPr="00DE6F58">
              <w:rPr>
                <w:rFonts w:eastAsia="Times New Roman" w:cs="Times New Roman"/>
                <w:color w:val="595959"/>
                <w:sz w:val="22"/>
                <w:szCs w:val="22"/>
              </w:rPr>
              <w:t>Exerting up to 50 pounds of force occasionally, and/or up to 30 pounds of force frequently, and/or up to 10 pounds of force constantly to move objects.</w:t>
            </w:r>
          </w:p>
          <w:p w14:paraId="29BC2EF4" w14:textId="630A424A"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33621757" w14:textId="77777777" w:rsidR="00C557FE" w:rsidRPr="00DE6F58" w:rsidRDefault="00C557FE" w:rsidP="00B47250">
            <w:pPr>
              <w:numPr>
                <w:ilvl w:val="0"/>
                <w:numId w:val="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 xml:space="preserve">The worker is required to have close visual acuity to perform an activity such as: preparing and analyzing data and figures; transcribing; viewing a computer terminal; extensive </w:t>
            </w:r>
            <w:r w:rsidRPr="00DE6F58">
              <w:rPr>
                <w:rFonts w:eastAsia="Times New Roman" w:cs="Times New Roman"/>
                <w:color w:val="595959"/>
                <w:sz w:val="22"/>
                <w:szCs w:val="22"/>
              </w:rPr>
              <w:lastRenderedPageBreak/>
              <w:t>reading; visual inspection involving small defects, small parts, and/or operation of machines (including inspection); using measurement devices; and/or assembly or fabrication parts at distances close to the eyes.</w:t>
            </w:r>
          </w:p>
          <w:p w14:paraId="3ABBAD19" w14:textId="694C82E1"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69A33997" w14:textId="77777777" w:rsidR="00C557FE" w:rsidRPr="00DE6F58" w:rsidRDefault="00C557FE" w:rsidP="00B47250">
            <w:pPr>
              <w:numPr>
                <w:ilvl w:val="0"/>
                <w:numId w:val="1"/>
              </w:numPr>
              <w:spacing w:line="240" w:lineRule="auto"/>
              <w:outlineLvl w:val="0"/>
              <w:rPr>
                <w:rFonts w:eastAsia="Times New Roman" w:cs="Times New Roman"/>
                <w:color w:val="595959"/>
                <w:sz w:val="22"/>
                <w:szCs w:val="22"/>
              </w:rPr>
            </w:pPr>
            <w:r w:rsidRPr="00DE6F58">
              <w:rPr>
                <w:rFonts w:eastAsia="Times New Roman" w:cs="Times New Roman"/>
                <w:color w:val="595959"/>
                <w:sz w:val="22"/>
                <w:szCs w:val="22"/>
              </w:rPr>
              <w:t>None. The worker is not substantially exposed to adverse environmental conditions (such as in typical office or administrative work.)</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ontserrat Light">
    <w:altName w:val="Calibri"/>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altName w:val="Calibri"/>
    <w:panose1 w:val="00000500000000000000"/>
    <w:charset w:val="00"/>
    <w:family w:val="modern"/>
    <w:notTrueType/>
    <w:pitch w:val="variable"/>
    <w:sig w:usb0="2000020F" w:usb1="00000003" w:usb2="00000000" w:usb3="00000000" w:csb0="00000197" w:csb1="00000000"/>
  </w:font>
  <w:font w:name="Montserrat Medium">
    <w:altName w:val="Courier New"/>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35B3B"/>
    <w:multiLevelType w:val="hybridMultilevel"/>
    <w:tmpl w:val="7340CEBA"/>
    <w:lvl w:ilvl="0" w:tplc="67AEF9D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F5732F"/>
    <w:multiLevelType w:val="hybridMultilevel"/>
    <w:tmpl w:val="23DE6B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5051E"/>
    <w:multiLevelType w:val="hybridMultilevel"/>
    <w:tmpl w:val="DBACFFF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0"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35981"/>
    <w:multiLevelType w:val="hybridMultilevel"/>
    <w:tmpl w:val="E8966CE4"/>
    <w:lvl w:ilvl="0" w:tplc="67AEF9D2">
      <w:numFmt w:val="bullet"/>
      <w:lvlText w:val="-"/>
      <w:lvlJc w:val="left"/>
      <w:pPr>
        <w:ind w:left="720" w:hanging="360"/>
      </w:pPr>
      <w:rPr>
        <w:rFonts w:ascii="Calibri" w:eastAsia="Calibri" w:hAnsi="Calibri" w:cs="Calibri" w:hint="default"/>
      </w:rPr>
    </w:lvl>
    <w:lvl w:ilvl="1" w:tplc="BC22EDF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1"/>
  </w:num>
  <w:num w:numId="7">
    <w:abstractNumId w:val="5"/>
  </w:num>
  <w:num w:numId="8">
    <w:abstractNumId w:val="8"/>
  </w:num>
  <w:num w:numId="9">
    <w:abstractNumId w:val="3"/>
  </w:num>
  <w:num w:numId="10">
    <w:abstractNumId w:val="2"/>
  </w:num>
  <w:num w:numId="11">
    <w:abstractNumId w:val="0"/>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1321"/>
    <w:rsid w:val="002D45C6"/>
    <w:rsid w:val="002E2B8A"/>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0266"/>
    <w:rsid w:val="004077FB"/>
    <w:rsid w:val="00424DD9"/>
    <w:rsid w:val="00460957"/>
    <w:rsid w:val="0046104A"/>
    <w:rsid w:val="004717C5"/>
    <w:rsid w:val="004920D7"/>
    <w:rsid w:val="004E55F5"/>
    <w:rsid w:val="004F4A4F"/>
    <w:rsid w:val="00523479"/>
    <w:rsid w:val="00526258"/>
    <w:rsid w:val="00543DB7"/>
    <w:rsid w:val="005729B0"/>
    <w:rsid w:val="005D4573"/>
    <w:rsid w:val="0060222F"/>
    <w:rsid w:val="00641630"/>
    <w:rsid w:val="00643CBB"/>
    <w:rsid w:val="006673C3"/>
    <w:rsid w:val="006710DB"/>
    <w:rsid w:val="00680ED5"/>
    <w:rsid w:val="00684488"/>
    <w:rsid w:val="006A31A2"/>
    <w:rsid w:val="006A3CE7"/>
    <w:rsid w:val="006A7EFA"/>
    <w:rsid w:val="006B7CB9"/>
    <w:rsid w:val="006C4C50"/>
    <w:rsid w:val="006C58A7"/>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8E513B"/>
    <w:rsid w:val="00941EC0"/>
    <w:rsid w:val="00965FA5"/>
    <w:rsid w:val="00971BF7"/>
    <w:rsid w:val="009A0311"/>
    <w:rsid w:val="009B3C40"/>
    <w:rsid w:val="00A42540"/>
    <w:rsid w:val="00A50939"/>
    <w:rsid w:val="00A6142F"/>
    <w:rsid w:val="00A622F5"/>
    <w:rsid w:val="00A90131"/>
    <w:rsid w:val="00AA6A40"/>
    <w:rsid w:val="00AB3FE9"/>
    <w:rsid w:val="00B47250"/>
    <w:rsid w:val="00B5664D"/>
    <w:rsid w:val="00BA5B40"/>
    <w:rsid w:val="00BB7D00"/>
    <w:rsid w:val="00BD0206"/>
    <w:rsid w:val="00C2098A"/>
    <w:rsid w:val="00C5444A"/>
    <w:rsid w:val="00C557FE"/>
    <w:rsid w:val="00C612DA"/>
    <w:rsid w:val="00C7741E"/>
    <w:rsid w:val="00C875AB"/>
    <w:rsid w:val="00C87710"/>
    <w:rsid w:val="00CA3DF1"/>
    <w:rsid w:val="00CA4581"/>
    <w:rsid w:val="00CC7E27"/>
    <w:rsid w:val="00CE18D5"/>
    <w:rsid w:val="00CE7D84"/>
    <w:rsid w:val="00D04109"/>
    <w:rsid w:val="00D57425"/>
    <w:rsid w:val="00D67D16"/>
    <w:rsid w:val="00DA702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C250C"/>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083C-674F-4CA9-9AD6-277FC096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6158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2020-09-14T14:09:00Z</cp:lastPrinted>
  <dcterms:created xsi:type="dcterms:W3CDTF">2021-05-13T16:37:00Z</dcterms:created>
  <dcterms:modified xsi:type="dcterms:W3CDTF">2021-05-13T16:37:00Z</dcterms:modified>
</cp:coreProperties>
</file>